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</w:t>
      </w:r>
      <w:r w:rsidR="0002049A" w:rsidRPr="0002049A">
        <w:rPr>
          <w:rFonts w:ascii="Verdana" w:hAnsi="Verdana"/>
          <w:b/>
          <w:sz w:val="18"/>
          <w:szCs w:val="18"/>
        </w:rPr>
        <w:t xml:space="preserve">Odstranění objektů v obvodu </w:t>
      </w:r>
      <w:r w:rsidR="0002049A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="0002049A" w:rsidRPr="0002049A">
        <w:rPr>
          <w:rFonts w:ascii="Verdana" w:hAnsi="Verdana"/>
          <w:b/>
          <w:sz w:val="18"/>
          <w:szCs w:val="18"/>
        </w:rPr>
        <w:t>OŘ Olomouc</w:t>
      </w:r>
      <w:r w:rsidR="00E518B2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2049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2049A" w:rsidRPr="0002049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49A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ED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0E37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40B3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54E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CC37BAC"/>
  <w15:docId w15:val="{03ACC4BE-0597-4125-AFCD-812C914C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C031F5-345B-44D4-905E-12A14BECB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2020-10-06T12:09:00Z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